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6CE7" w:rsidRPr="00787BF1" w:rsidRDefault="00CA6CE7" w:rsidP="00CA6CE7">
      <w:pPr>
        <w:pStyle w:val="Heading2"/>
      </w:pPr>
      <w:bookmarkStart w:id="0" w:name="_Toc155342852"/>
      <w:bookmarkStart w:id="1" w:name="_GoBack"/>
      <w:r w:rsidRPr="00787BF1">
        <w:rPr>
          <w:b/>
          <w:sz w:val="24"/>
        </w:rPr>
        <w:t>174. LÃNH THỔ QUỐC GIA</w:t>
      </w:r>
      <w:bookmarkEnd w:id="1"/>
      <w:r w:rsidRPr="00787BF1">
        <w:t>, một phần của trái đất thuộc chủ quyền đầy đủ của quốc gia.</w:t>
      </w:r>
      <w:bookmarkEnd w:id="0"/>
      <w:r w:rsidRPr="00787BF1">
        <w:t xml:space="preserve"> </w:t>
      </w:r>
    </w:p>
    <w:p w:rsidR="00CA6CE7" w:rsidRPr="00787BF1" w:rsidRDefault="00CA6CE7" w:rsidP="00CA6CE7">
      <w:pPr>
        <w:widowControl w:val="0"/>
        <w:adjustRightInd w:val="0"/>
        <w:snapToGrid w:val="0"/>
        <w:spacing w:before="120"/>
        <w:ind w:firstLine="284"/>
        <w:jc w:val="both"/>
        <w:rPr>
          <w:szCs w:val="28"/>
        </w:rPr>
      </w:pPr>
      <w:r w:rsidRPr="00787BF1">
        <w:rPr>
          <w:szCs w:val="28"/>
        </w:rPr>
        <w:t xml:space="preserve">Các bộ phận cấu thành lãnh thổ quốc gia bao gồm: </w:t>
      </w:r>
    </w:p>
    <w:p w:rsidR="00CA6CE7" w:rsidRPr="00787BF1" w:rsidRDefault="00CA6CE7" w:rsidP="00CA6CE7">
      <w:pPr>
        <w:widowControl w:val="0"/>
        <w:adjustRightInd w:val="0"/>
        <w:snapToGrid w:val="0"/>
        <w:spacing w:before="120"/>
        <w:ind w:firstLine="284"/>
        <w:jc w:val="both"/>
        <w:rPr>
          <w:szCs w:val="28"/>
        </w:rPr>
      </w:pPr>
      <w:r w:rsidRPr="00787BF1">
        <w:rPr>
          <w:szCs w:val="28"/>
        </w:rPr>
        <w:t>Vùng đất: Vùng đất lãnh thổ gồm toàn bộ phần đất lục địa và các đảo, quần đảo thuộc chủ quyền quốc gia.</w:t>
      </w:r>
    </w:p>
    <w:p w:rsidR="00CA6CE7" w:rsidRPr="00787BF1" w:rsidRDefault="00CA6CE7" w:rsidP="00CA6CE7">
      <w:pPr>
        <w:widowControl w:val="0"/>
        <w:adjustRightInd w:val="0"/>
        <w:snapToGrid w:val="0"/>
        <w:spacing w:before="120"/>
        <w:ind w:firstLine="284"/>
        <w:jc w:val="both"/>
        <w:rPr>
          <w:szCs w:val="28"/>
        </w:rPr>
      </w:pPr>
      <w:r w:rsidRPr="00787BF1">
        <w:rPr>
          <w:szCs w:val="28"/>
        </w:rPr>
        <w:t xml:space="preserve">Vùng nước: Toàn bộ các phần nước nằm trong đường biên giới quốc gia. </w:t>
      </w:r>
    </w:p>
    <w:p w:rsidR="00CA6CE7" w:rsidRPr="00787BF1" w:rsidRDefault="00CA6CE7" w:rsidP="00CA6CE7">
      <w:pPr>
        <w:widowControl w:val="0"/>
        <w:adjustRightInd w:val="0"/>
        <w:snapToGrid w:val="0"/>
        <w:spacing w:before="120"/>
        <w:ind w:firstLine="284"/>
        <w:jc w:val="both"/>
        <w:rPr>
          <w:szCs w:val="28"/>
        </w:rPr>
      </w:pPr>
      <w:r w:rsidRPr="00787BF1">
        <w:rPr>
          <w:szCs w:val="28"/>
        </w:rPr>
        <w:t>Dựa vào vị trí, tính chất riêng của từng vùng</w:t>
      </w:r>
      <w:r w:rsidRPr="00787BF1">
        <w:rPr>
          <w:szCs w:val="28"/>
          <w:lang w:val="vi-VN"/>
        </w:rPr>
        <w:t>,</w:t>
      </w:r>
      <w:r w:rsidRPr="00787BF1">
        <w:rPr>
          <w:szCs w:val="28"/>
        </w:rPr>
        <w:t xml:space="preserve"> người ta chia các vùng nước thành các thành phần: vùng nước nội địa, vùng nước biên giới, vùng </w:t>
      </w:r>
      <w:r>
        <w:rPr>
          <w:szCs w:val="28"/>
        </w:rPr>
        <w:t xml:space="preserve">nước </w:t>
      </w:r>
      <w:r w:rsidRPr="00787BF1">
        <w:rPr>
          <w:szCs w:val="28"/>
        </w:rPr>
        <w:t>nội thủ</w:t>
      </w:r>
      <w:r>
        <w:rPr>
          <w:szCs w:val="28"/>
        </w:rPr>
        <w:t>y và</w:t>
      </w:r>
      <w:r w:rsidRPr="00787BF1">
        <w:rPr>
          <w:szCs w:val="28"/>
        </w:rPr>
        <w:t xml:space="preserve"> vùng nước lãnh hải</w:t>
      </w:r>
      <w:r w:rsidRPr="00787BF1">
        <w:rPr>
          <w:szCs w:val="28"/>
          <w:lang w:val="vi-VN"/>
        </w:rPr>
        <w:t xml:space="preserve">. </w:t>
      </w:r>
      <w:r w:rsidRPr="00787BF1">
        <w:rPr>
          <w:szCs w:val="28"/>
        </w:rPr>
        <w:t xml:space="preserve">Vùng nước biên giới (bao gồm các sông, hồ, biển nội địa nằm trên khu vực biên giới giữa các quốc gia). Về bản chất thì vùng nước biên giới cũng giống vùng nước nội địa, nhưng do nằm ở trên khu vực biên giới nên quá trình khai thác, sử dụng và bảo vệ nguồn nước có liên quan trực tiếp đến quốc gia có chung đường biên giới. Do vậy, các quốc gia hữu quan thường ký kết các điều ước quốc tế quy định về sử dụng, khai thác, bảo vệ nguồn nước này vì lợi ích chung của các bên. Vùng nội thuỷ là vùng nước biển được xác định bởi một bên là bờ biển và một bên khác là đường cơ sở. Vùng nước nội thuỷ thuộc chủ quyền hoàn toàn, tuyệt đối và đầy đủ của quốc gia ven biển. Thực tế của các quốc gia có biển cho thấy vùng nước nội thuỷ bao gồm nhiều bộ phận có tính chất và quy chế pháp lý khác nhau, như: Các vịnh thiên nhiên, các cảng biển, các vũng đậu tàu, các vùng nước lịch sử... Trường hợp các quốc gia quần đảo thì vùng nước này là toàn bộ những vùng nước biển nằm trong biên giới quốc gia và được gọi là vùng nước quần đảo. </w:t>
      </w:r>
    </w:p>
    <w:p w:rsidR="00CA6CE7" w:rsidRPr="00787BF1" w:rsidRDefault="00CA6CE7" w:rsidP="00CA6CE7">
      <w:pPr>
        <w:widowControl w:val="0"/>
        <w:adjustRightInd w:val="0"/>
        <w:snapToGrid w:val="0"/>
        <w:spacing w:before="120"/>
        <w:ind w:firstLine="284"/>
        <w:jc w:val="both"/>
        <w:rPr>
          <w:szCs w:val="28"/>
        </w:rPr>
      </w:pPr>
      <w:r w:rsidRPr="00787BF1">
        <w:rPr>
          <w:szCs w:val="28"/>
        </w:rPr>
        <w:t>Vùng nước lãnh hải là vùng biển nằm bên ngoài và tiếp liền với vùng nước nội thuỷ của quốc gia (hoặc vùng nước quần đảo của quốc gia quần đảo) được quy định theo Công ướ</w:t>
      </w:r>
      <w:r>
        <w:rPr>
          <w:szCs w:val="28"/>
        </w:rPr>
        <w:t>c Liên hợp quốc</w:t>
      </w:r>
      <w:r w:rsidRPr="00787BF1">
        <w:rPr>
          <w:szCs w:val="28"/>
        </w:rPr>
        <w:t xml:space="preserve"> về Luật Biển năm 1982. Lãnh hải bao gồm lãnh hải đất liền, lãnh hải của đảo, lãnh hải quần đảo. Công ướ</w:t>
      </w:r>
      <w:r>
        <w:rPr>
          <w:szCs w:val="28"/>
        </w:rPr>
        <w:t>c Liên hợp quốc</w:t>
      </w:r>
      <w:r w:rsidRPr="00787BF1">
        <w:rPr>
          <w:szCs w:val="28"/>
        </w:rPr>
        <w:t xml:space="preserve"> về Luật Biển năm 1982 quy định các nguyên tắc đảm bảo cho tất cả các quốc gia có quyền tự do biển cả, đồng thời mở rộng một phần chủ quyền cho quốc gia ven biển. Theo đó, các quốc gia ven biển được mở rộng quyền của mình ra hướng biển để khai thác các lợi ích kinh tế ngoài biên giới quốc gia của mình. Do vậy</w:t>
      </w:r>
      <w:r w:rsidRPr="00787BF1">
        <w:rPr>
          <w:szCs w:val="28"/>
          <w:lang w:val="vi-VN"/>
        </w:rPr>
        <w:t xml:space="preserve">, </w:t>
      </w:r>
      <w:r w:rsidRPr="00787BF1">
        <w:rPr>
          <w:szCs w:val="28"/>
        </w:rPr>
        <w:t xml:space="preserve">Luật Biển quốc tế đã hình thành các chế định về vùng tiếp giáp lãnh hải, vùng đặc quyền về kinh tế và thềm lục địa. Các vùng này được coi là không gian đặc thù, không phải của riêng quốc gia ven biển, nhưng cũng không còn là vùng biển của cả nhân loại như các vùng biển quốc tế (biển cả). Vùng tiếp giáp lãnh hải, vùng đặc quyền kinh tế và thềm lục địa được gọi là vùng thuộc quyền chủ quyền và quyền tài phán của quốc gia ven biển. </w:t>
      </w:r>
    </w:p>
    <w:p w:rsidR="00CA6CE7" w:rsidRPr="00787BF1" w:rsidRDefault="00CA6CE7" w:rsidP="00CA6CE7">
      <w:pPr>
        <w:widowControl w:val="0"/>
        <w:adjustRightInd w:val="0"/>
        <w:snapToGrid w:val="0"/>
        <w:spacing w:before="120"/>
        <w:ind w:firstLine="284"/>
        <w:jc w:val="both"/>
        <w:rPr>
          <w:szCs w:val="28"/>
        </w:rPr>
      </w:pPr>
      <w:r w:rsidRPr="00787BF1">
        <w:rPr>
          <w:szCs w:val="28"/>
        </w:rPr>
        <w:t xml:space="preserve">LTQG trong lòng đất: Toàn bộ phần nằm dưới vùng đất và vùng nước thuộc chủ quyền quốc gia. Vùng lòng đất là toàn bộ phần nằm dưới vùng đất và vùng nước thuộc chủ quyền quốc gia. Theo nguyên tắc chung được mặc nhiên thừa nhận thì vùng lòng đất được kéo dài tới tận tâm Trái Đất. </w:t>
      </w:r>
    </w:p>
    <w:p w:rsidR="00CA6CE7" w:rsidRPr="00787BF1" w:rsidRDefault="00CA6CE7" w:rsidP="00CA6CE7">
      <w:pPr>
        <w:widowControl w:val="0"/>
        <w:adjustRightInd w:val="0"/>
        <w:snapToGrid w:val="0"/>
        <w:spacing w:before="120"/>
        <w:ind w:firstLine="284"/>
        <w:jc w:val="both"/>
        <w:rPr>
          <w:szCs w:val="28"/>
        </w:rPr>
      </w:pPr>
      <w:r w:rsidRPr="00787BF1">
        <w:rPr>
          <w:szCs w:val="28"/>
        </w:rPr>
        <w:t xml:space="preserve">LTQG trên vùng trời: Khoảng không gian bao trùm trên vùng đất và vùng nước </w:t>
      </w:r>
      <w:r w:rsidRPr="00787BF1">
        <w:rPr>
          <w:szCs w:val="28"/>
        </w:rPr>
        <w:lastRenderedPageBreak/>
        <w:t xml:space="preserve">của quốc gia. Trong các tài liệu, văn bản pháp lý quốc tế từ trước tới nay chưa quy định cụ thể và thống nhất về độ cao vùng trời quốc gia. Trong thực tiễn mỗi nước quy định khác nhau. Một số nước lấy độ cao của tầng khí quyển làm giới hạn, một số nước lại lấy độ cao quỹ đạo vệ tinh địa tĩnh. </w:t>
      </w:r>
    </w:p>
    <w:p w:rsidR="00CA6CE7" w:rsidRPr="00787BF1" w:rsidRDefault="00CA6CE7" w:rsidP="00CA6CE7">
      <w:pPr>
        <w:widowControl w:val="0"/>
        <w:adjustRightInd w:val="0"/>
        <w:snapToGrid w:val="0"/>
        <w:spacing w:before="120"/>
        <w:ind w:firstLine="284"/>
        <w:jc w:val="both"/>
        <w:rPr>
          <w:szCs w:val="28"/>
        </w:rPr>
      </w:pPr>
      <w:r w:rsidRPr="00787BF1">
        <w:rPr>
          <w:szCs w:val="28"/>
        </w:rPr>
        <w:t xml:space="preserve">Vùng lãnh thổ đặc biệt: Ngoài các vùng lãnh thổ nói trên, các tàu thuyền, các phương tiện bay mang cờ hoặc mang dấu hiệu riêng biệt và hợp pháp của quốc gia, các công trình nhân tạo, các thiết bị, hệ thống cáp ngầm, ống dẫn ngầm… được thiết lập và hoạt động nằm ngoài phạm vi lãnh thổ của các quốc gia như vùng biển quốc tế, vùng nam cực, khoảng không vũ trụ… cũng được thừa nhận như một phần lãnh thổ quốc gia. </w:t>
      </w:r>
    </w:p>
    <w:p w:rsidR="00CA6CE7" w:rsidRPr="00787BF1" w:rsidRDefault="00CA6CE7" w:rsidP="00CA6CE7">
      <w:pPr>
        <w:widowControl w:val="0"/>
        <w:adjustRightInd w:val="0"/>
        <w:snapToGrid w:val="0"/>
        <w:spacing w:before="120"/>
        <w:ind w:firstLine="284"/>
        <w:jc w:val="both"/>
        <w:rPr>
          <w:szCs w:val="28"/>
        </w:rPr>
      </w:pPr>
      <w:r w:rsidRPr="00787BF1">
        <w:rPr>
          <w:szCs w:val="28"/>
        </w:rPr>
        <w:t xml:space="preserve">Lãnh thổ, cư dân và chính quyền là ba yếu tố cơ bản cấu thành một quốc gia độc lập có chủ quyền. Trong đó, LTQG là vấn đề quan trọng hàng đầu, không gian cần thiết, cơ sở thực tế cho sự tồn tại của quốc gia. Chủ quyền toàn vẹn lãnh thổ là vấn đề thiêng liêng đối với mỗi quốc gia, dân tộc. Chủ quyền quốc gia là quyền làm chủ một cách độc lập, toàn vẹn, đầy đủ về mọi mặt của một quốc gia trong phạm vi lãnh thổ của mình. Tất cả các nước đều có chủ quyền quốc gia. Tôn trọng chủ quyền quốc gia là một nguyên tắc cơ bản của luật pháp quốc tế. Không một quốc gia nào được can thiệp hoặc xâm phạm chủ quyền của một quốc gia khác. Chủ quyền LTQG là tuyệt đối, bất khả xâm phạm. Do vậy, trên cơ sở Hiến pháp 2013 và các văn bản pháp lý liên quan, Việt Nam có quyền sử dụng tổng hợp các lực lượng và biện pháp chống lại sự xâm phạm, phá hoại dưới mọi hình thức để giữ gìn toàn vẹn chủ quyền nhà nước đối với LTQG. </w:t>
      </w:r>
    </w:p>
    <w:p w:rsidR="00CA6CE7" w:rsidRPr="00787BF1" w:rsidRDefault="00CA6CE7" w:rsidP="00CA6CE7">
      <w:pPr>
        <w:widowControl w:val="0"/>
        <w:adjustRightInd w:val="0"/>
        <w:snapToGrid w:val="0"/>
        <w:spacing w:before="120"/>
        <w:ind w:firstLine="284"/>
        <w:jc w:val="both"/>
        <w:rPr>
          <w:szCs w:val="28"/>
        </w:rPr>
      </w:pPr>
      <w:r w:rsidRPr="00787BF1">
        <w:rPr>
          <w:szCs w:val="28"/>
        </w:rPr>
        <w:t>LTQG của nước Cộng hoà xã hội chủ nghĩa Việt Nam được quy định trong Hiến pháp. Hiến pháp năm 2013 quy định LTQG gồm có đất liền, các hải đảo, vùng biển và vùng trời. Mọi hành vi xâm phạm sự toàn vẹn lãnh thổ của Tổ quốc Việt Nam đều bị trừng trị một cách nghiêm khắc theo quy định của pháp luật nước Cộng hoà Xã hội chủ nghĩa Việt Nam. Xây dựng, quản lý, bảo vệ chủ quyền, LTQG và biển, đảo Việt Nam là trách nhiệm của toàn</w:t>
      </w:r>
      <w:r w:rsidRPr="00787BF1">
        <w:rPr>
          <w:szCs w:val="28"/>
          <w:lang w:val="vi-VN"/>
        </w:rPr>
        <w:t xml:space="preserve"> bộ hệ thống chính trị và </w:t>
      </w:r>
      <w:r w:rsidRPr="00787BF1">
        <w:rPr>
          <w:szCs w:val="28"/>
        </w:rPr>
        <w:t xml:space="preserve">toàn thể nhân dân. </w:t>
      </w:r>
    </w:p>
    <w:p w:rsidR="00CA6CE7" w:rsidRPr="00787BF1" w:rsidRDefault="00CA6CE7" w:rsidP="00CA6CE7">
      <w:pPr>
        <w:widowControl w:val="0"/>
        <w:adjustRightInd w:val="0"/>
        <w:snapToGrid w:val="0"/>
        <w:spacing w:before="120"/>
        <w:ind w:firstLine="284"/>
        <w:jc w:val="right"/>
        <w:rPr>
          <w:b/>
          <w:sz w:val="22"/>
        </w:rPr>
      </w:pPr>
      <w:r w:rsidRPr="00787BF1">
        <w:rPr>
          <w:b/>
          <w:sz w:val="22"/>
        </w:rPr>
        <w:t>ĐINH NGỌC VƯỢNG</w:t>
      </w:r>
    </w:p>
    <w:p w:rsidR="00CA6CE7" w:rsidRPr="00787BF1" w:rsidRDefault="00CA6CE7" w:rsidP="00CA6CE7">
      <w:pPr>
        <w:widowControl w:val="0"/>
        <w:tabs>
          <w:tab w:val="left" w:pos="567"/>
        </w:tabs>
        <w:adjustRightInd w:val="0"/>
        <w:snapToGrid w:val="0"/>
        <w:spacing w:before="120"/>
        <w:ind w:firstLine="284"/>
        <w:jc w:val="both"/>
        <w:rPr>
          <w:b/>
          <w:sz w:val="24"/>
          <w:szCs w:val="24"/>
        </w:rPr>
      </w:pPr>
      <w:r w:rsidRPr="00787BF1">
        <w:rPr>
          <w:b/>
          <w:sz w:val="24"/>
          <w:szCs w:val="24"/>
        </w:rPr>
        <w:t xml:space="preserve">Tài liệu tham khảo: </w:t>
      </w:r>
    </w:p>
    <w:p w:rsidR="00CA6CE7" w:rsidRPr="00787BF1" w:rsidRDefault="00CA6CE7" w:rsidP="00CA6CE7">
      <w:pPr>
        <w:widowControl w:val="0"/>
        <w:numPr>
          <w:ilvl w:val="0"/>
          <w:numId w:val="1"/>
        </w:numPr>
        <w:tabs>
          <w:tab w:val="left" w:pos="567"/>
        </w:tabs>
        <w:adjustRightInd w:val="0"/>
        <w:snapToGrid w:val="0"/>
        <w:spacing w:before="120"/>
        <w:ind w:left="0" w:firstLine="284"/>
        <w:jc w:val="both"/>
        <w:rPr>
          <w:sz w:val="24"/>
          <w:szCs w:val="24"/>
        </w:rPr>
      </w:pPr>
      <w:r w:rsidRPr="00787BF1">
        <w:rPr>
          <w:sz w:val="24"/>
          <w:szCs w:val="24"/>
        </w:rPr>
        <w:t xml:space="preserve">Trường Đại học Luật Hà Nội, </w:t>
      </w:r>
      <w:r w:rsidRPr="00787BF1">
        <w:rPr>
          <w:i/>
          <w:sz w:val="24"/>
          <w:szCs w:val="24"/>
        </w:rPr>
        <w:t>Giáo trình Luật quốc tế</w:t>
      </w:r>
      <w:r w:rsidRPr="00787BF1">
        <w:rPr>
          <w:sz w:val="24"/>
          <w:szCs w:val="24"/>
        </w:rPr>
        <w:t xml:space="preserve">, </w:t>
      </w:r>
      <w:r>
        <w:rPr>
          <w:sz w:val="24"/>
          <w:szCs w:val="24"/>
        </w:rPr>
        <w:t>Nxb. Công an nhân dân</w:t>
      </w:r>
      <w:r w:rsidRPr="00787BF1">
        <w:rPr>
          <w:sz w:val="24"/>
          <w:szCs w:val="24"/>
        </w:rPr>
        <w:t xml:space="preserve">, Hà Nội, 2017. </w:t>
      </w:r>
    </w:p>
    <w:p w:rsidR="00CA6CE7" w:rsidRPr="00787BF1" w:rsidRDefault="00CA6CE7" w:rsidP="00CA6CE7">
      <w:pPr>
        <w:widowControl w:val="0"/>
        <w:numPr>
          <w:ilvl w:val="0"/>
          <w:numId w:val="1"/>
        </w:numPr>
        <w:tabs>
          <w:tab w:val="left" w:pos="567"/>
        </w:tabs>
        <w:adjustRightInd w:val="0"/>
        <w:snapToGrid w:val="0"/>
        <w:spacing w:before="120"/>
        <w:ind w:left="0" w:firstLine="284"/>
        <w:jc w:val="both"/>
        <w:rPr>
          <w:sz w:val="24"/>
          <w:szCs w:val="24"/>
        </w:rPr>
      </w:pPr>
      <w:r w:rsidRPr="00787BF1">
        <w:rPr>
          <w:sz w:val="24"/>
          <w:szCs w:val="24"/>
        </w:rPr>
        <w:t>Luật Biển Việt Nam</w:t>
      </w:r>
      <w:r w:rsidRPr="00787BF1">
        <w:rPr>
          <w:i/>
          <w:sz w:val="24"/>
          <w:szCs w:val="24"/>
        </w:rPr>
        <w:t xml:space="preserve"> </w:t>
      </w:r>
      <w:r w:rsidRPr="00787BF1">
        <w:rPr>
          <w:sz w:val="24"/>
          <w:szCs w:val="24"/>
        </w:rPr>
        <w:t>năm 2012.</w:t>
      </w:r>
    </w:p>
    <w:p w:rsidR="00CA6CE7" w:rsidRPr="00787BF1" w:rsidRDefault="00CA6CE7" w:rsidP="00CA6CE7">
      <w:pPr>
        <w:widowControl w:val="0"/>
        <w:numPr>
          <w:ilvl w:val="0"/>
          <w:numId w:val="1"/>
        </w:numPr>
        <w:tabs>
          <w:tab w:val="left" w:pos="567"/>
        </w:tabs>
        <w:adjustRightInd w:val="0"/>
        <w:snapToGrid w:val="0"/>
        <w:spacing w:before="120"/>
        <w:ind w:left="0" w:firstLine="284"/>
        <w:jc w:val="both"/>
        <w:rPr>
          <w:sz w:val="24"/>
          <w:szCs w:val="24"/>
        </w:rPr>
      </w:pPr>
      <w:r w:rsidRPr="00787BF1">
        <w:rPr>
          <w:sz w:val="24"/>
          <w:szCs w:val="24"/>
        </w:rPr>
        <w:t xml:space="preserve">Viện Nhà nước và Pháp luật, </w:t>
      </w:r>
      <w:r w:rsidRPr="00787BF1">
        <w:rPr>
          <w:i/>
          <w:sz w:val="24"/>
          <w:szCs w:val="24"/>
        </w:rPr>
        <w:t xml:space="preserve">Những vấn đề cơ bản về Luật quốc tế, </w:t>
      </w:r>
      <w:r w:rsidRPr="00787BF1">
        <w:rPr>
          <w:sz w:val="24"/>
          <w:szCs w:val="24"/>
        </w:rPr>
        <w:t>Nxb. Chính trị quốc gia, Hà Nội, 1995.</w:t>
      </w:r>
    </w:p>
    <w:p w:rsidR="00CA6CE7" w:rsidRPr="00787BF1" w:rsidRDefault="00CA6CE7" w:rsidP="00CA6CE7">
      <w:pPr>
        <w:widowControl w:val="0"/>
        <w:numPr>
          <w:ilvl w:val="0"/>
          <w:numId w:val="1"/>
        </w:numPr>
        <w:tabs>
          <w:tab w:val="left" w:pos="567"/>
        </w:tabs>
        <w:adjustRightInd w:val="0"/>
        <w:snapToGrid w:val="0"/>
        <w:spacing w:before="120"/>
        <w:ind w:left="0" w:firstLine="284"/>
        <w:jc w:val="both"/>
        <w:rPr>
          <w:sz w:val="24"/>
          <w:szCs w:val="24"/>
        </w:rPr>
      </w:pPr>
      <w:r w:rsidRPr="00787BF1">
        <w:rPr>
          <w:i/>
          <w:sz w:val="24"/>
          <w:szCs w:val="24"/>
        </w:rPr>
        <w:t>Государственная территория</w:t>
      </w:r>
      <w:r w:rsidRPr="00787BF1">
        <w:rPr>
          <w:sz w:val="24"/>
          <w:szCs w:val="24"/>
        </w:rPr>
        <w:t>, Больщая Росийская Эциклопедия, Издательства "Больщая Росийская эциклопедия", Москва, 2004-2017.</w:t>
      </w:r>
    </w:p>
    <w:p w:rsidR="00CA6CE7" w:rsidRPr="00787BF1" w:rsidRDefault="00CA6CE7" w:rsidP="00CA6CE7">
      <w:pPr>
        <w:widowControl w:val="0"/>
        <w:numPr>
          <w:ilvl w:val="0"/>
          <w:numId w:val="1"/>
        </w:numPr>
        <w:tabs>
          <w:tab w:val="left" w:pos="567"/>
        </w:tabs>
        <w:adjustRightInd w:val="0"/>
        <w:snapToGrid w:val="0"/>
        <w:spacing w:before="120"/>
        <w:ind w:left="0" w:firstLine="284"/>
        <w:jc w:val="both"/>
        <w:rPr>
          <w:sz w:val="24"/>
          <w:szCs w:val="24"/>
        </w:rPr>
      </w:pPr>
      <w:r w:rsidRPr="00787BF1">
        <w:rPr>
          <w:i/>
          <w:sz w:val="24"/>
          <w:szCs w:val="24"/>
        </w:rPr>
        <w:t>Международное публичное право</w:t>
      </w:r>
      <w:r w:rsidRPr="00787BF1">
        <w:rPr>
          <w:sz w:val="24"/>
          <w:szCs w:val="24"/>
        </w:rPr>
        <w:t xml:space="preserve">/Отв. ред. К. А. Бекяшев, Москва, 2011. </w:t>
      </w:r>
    </w:p>
    <w:p w:rsidR="001324E1" w:rsidRDefault="001324E1"/>
    <w:sectPr w:rsidR="001324E1" w:rsidSect="005630BE">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C07316"/>
    <w:multiLevelType w:val="hybridMultilevel"/>
    <w:tmpl w:val="65F865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CE7"/>
    <w:rsid w:val="001324E1"/>
    <w:rsid w:val="005630BE"/>
    <w:rsid w:val="00666C5C"/>
    <w:rsid w:val="00A849F3"/>
    <w:rsid w:val="00CA6C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E85D76-7DDA-4407-9507-1362DB4C8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b/>
        <w:sz w:val="28"/>
        <w:szCs w:val="28"/>
        <w:lang w:val="en-US" w:eastAsia="en-US" w:bidi="ar-SA"/>
      </w:rPr>
    </w:rPrDefault>
    <w:pPrDefault>
      <w:pPr>
        <w:spacing w:before="60" w:after="60" w:line="400" w:lineRule="exac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6CE7"/>
    <w:pPr>
      <w:spacing w:before="0" w:after="0" w:line="240" w:lineRule="auto"/>
      <w:jc w:val="left"/>
    </w:pPr>
    <w:rPr>
      <w:rFonts w:eastAsia="Calibri"/>
      <w:b w:val="0"/>
      <w:szCs w:val="22"/>
    </w:rPr>
  </w:style>
  <w:style w:type="paragraph" w:styleId="Heading2">
    <w:name w:val="heading 2"/>
    <w:basedOn w:val="Normal"/>
    <w:next w:val="Normal"/>
    <w:link w:val="Heading2Char"/>
    <w:autoRedefine/>
    <w:unhideWhenUsed/>
    <w:qFormat/>
    <w:rsid w:val="00CA6CE7"/>
    <w:pPr>
      <w:adjustRightInd w:val="0"/>
      <w:snapToGrid w:val="0"/>
      <w:spacing w:before="240"/>
      <w:ind w:firstLine="284"/>
      <w:jc w:val="both"/>
      <w:outlineLvl w:val="1"/>
    </w:pPr>
    <w:rPr>
      <w:iCs/>
      <w:szCs w:val="28"/>
    </w:rPr>
  </w:style>
  <w:style w:type="paragraph" w:styleId="Heading4">
    <w:name w:val="heading 4"/>
    <w:basedOn w:val="Normal"/>
    <w:next w:val="Normal"/>
    <w:link w:val="Heading4Char"/>
    <w:uiPriority w:val="9"/>
    <w:semiHidden/>
    <w:unhideWhenUsed/>
    <w:qFormat/>
    <w:rsid w:val="00A849F3"/>
    <w:pPr>
      <w:keepNext/>
      <w:keepLines/>
      <w:spacing w:before="120" w:after="120" w:line="400" w:lineRule="exact"/>
      <w:ind w:firstLine="567"/>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A849F3"/>
    <w:rPr>
      <w:rFonts w:eastAsiaTheme="majorEastAsia" w:cstheme="majorBidi"/>
      <w:i/>
      <w:iCs/>
    </w:rPr>
  </w:style>
  <w:style w:type="character" w:customStyle="1" w:styleId="Heading2Char">
    <w:name w:val="Heading 2 Char"/>
    <w:basedOn w:val="DefaultParagraphFont"/>
    <w:link w:val="Heading2"/>
    <w:rsid w:val="00CA6CE7"/>
    <w:rPr>
      <w:rFonts w:eastAsia="Calibri"/>
      <w:b w:val="0"/>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814</Words>
  <Characters>4640</Characters>
  <Application>Microsoft Office Word</Application>
  <DocSecurity>0</DocSecurity>
  <Lines>38</Lines>
  <Paragraphs>10</Paragraphs>
  <ScaleCrop>false</ScaleCrop>
  <Company/>
  <LinksUpToDate>false</LinksUpToDate>
  <CharactersWithSpaces>5444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LoanTran</dc:creator>
  <cp:keywords/>
  <dc:description/>
  <cp:lastModifiedBy>LoanTran</cp:lastModifiedBy>
  <cp:revision>1</cp:revision>
  <dcterms:created xsi:type="dcterms:W3CDTF">2025-12-15T03:51:00Z</dcterms:created>
  <dcterms:modified xsi:type="dcterms:W3CDTF">2025-12-15T03:51:00Z</dcterms:modified>
</cp:coreProperties>
</file>